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527300" cy="2527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252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Návrh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Štatút Legislatívno-právnej a etickej komisie SFZ z ...... 2025,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ktorým sa mení a dopĺňa štatút Legislatívno-právnej a etickej komisie SFZ 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 8. júla 2020 </w:t>
      </w:r>
    </w:p>
    <w:p w:rsidR="00000000" w:rsidDel="00000000" w:rsidP="00000000" w:rsidRDefault="00000000" w:rsidRPr="00000000" w14:paraId="00000008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Výkonný výbor Slovenského futbalového zväzu podľa článku 7 ods. 3 písm. b) a článku 51 ods. 2 písm. a) stanov Slovenského futbalového zväzu z 3. júna 2016 v znení neskorších noviel stanov schvaľuje tento štatút Legislatívno-právnej a etickej komisie SFZ: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48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Čl. I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Štatút Legislatívno-právnej a etickej komisie SFZ z 8. júla 2020 sa mení a dopĺňa takto: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120" w:lineRule="auto"/>
        <w:ind w:left="425" w:hanging="425"/>
        <w:jc w:val="both"/>
        <w:rPr/>
      </w:pPr>
      <w:r w:rsidDel="00000000" w:rsidR="00000000" w:rsidRPr="00000000">
        <w:rPr>
          <w:b w:val="1"/>
          <w:rtl w:val="0"/>
        </w:rPr>
        <w:t xml:space="preserve">V článku 2 odsek 3 znie:</w:t>
      </w:r>
    </w:p>
    <w:p w:rsidR="00000000" w:rsidDel="00000000" w:rsidP="00000000" w:rsidRDefault="00000000" w:rsidRPr="00000000" w14:paraId="00000018">
      <w:pPr>
        <w:spacing w:after="120" w:lineRule="auto"/>
        <w:jc w:val="both"/>
        <w:rPr/>
      </w:pPr>
      <w:r w:rsidDel="00000000" w:rsidR="00000000" w:rsidRPr="00000000">
        <w:rPr>
          <w:rtl w:val="0"/>
        </w:rPr>
        <w:t xml:space="preserve">,,(3) Komisia vybavuje podnety týkajúce sa porušenia Etického k</w:t>
      </w:r>
      <w:r w:rsidDel="00000000" w:rsidR="00000000" w:rsidRPr="00000000">
        <w:rPr>
          <w:rtl w:val="0"/>
        </w:rPr>
        <w:t xml:space="preserve">ódexu, ktoré jej boli postúpené alebo zaslané zo strany VV SFZ, kontrolóra SFZ, orgánu na riešenie sporov SFZ, GS, LPO SFZ alebo inej zložky administratívy SFZ.”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360" w:line="276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Dôvod: </w:t>
      </w:r>
      <w:r w:rsidDel="00000000" w:rsidR="00000000" w:rsidRPr="00000000">
        <w:rPr>
          <w:rtl w:val="0"/>
        </w:rPr>
        <w:t xml:space="preserve">Zmena formulácie má za cieľ spresniť a posilniť vyjadrenie aktívnej úlohy Komisie pri riešení podnetov. Sloveso </w:t>
      </w:r>
      <w:r w:rsidDel="00000000" w:rsidR="00000000" w:rsidRPr="00000000">
        <w:rPr>
          <w:rtl w:val="0"/>
        </w:rPr>
        <w:t xml:space="preserve">„</w:t>
      </w:r>
      <w:r w:rsidDel="00000000" w:rsidR="00000000" w:rsidRPr="00000000">
        <w:rPr>
          <w:rtl w:val="0"/>
        </w:rPr>
        <w:t xml:space="preserve">vybavovať</w:t>
      </w:r>
      <w:r w:rsidDel="00000000" w:rsidR="00000000" w:rsidRPr="00000000">
        <w:rPr>
          <w:color w:val="000000"/>
          <w:rtl w:val="0"/>
        </w:rPr>
        <w:t xml:space="preserve">', ktoré sa používa aj v iných ustanoveniach Štatútu vyjadruje aktívny proces spracovania a posúdenia podnetu, ktorý vedie k nejakému výsledku, na rozdiel od všeobecnejšieho slova </w:t>
      </w:r>
      <w:r w:rsidDel="00000000" w:rsidR="00000000" w:rsidRPr="00000000">
        <w:rPr>
          <w:rtl w:val="0"/>
        </w:rPr>
        <w:t xml:space="preserve">„</w:t>
      </w:r>
      <w:r w:rsidDel="00000000" w:rsidR="00000000" w:rsidRPr="00000000">
        <w:rPr>
          <w:color w:val="000000"/>
          <w:rtl w:val="0"/>
        </w:rPr>
        <w:t xml:space="preserve">zaoberať sa</w:t>
      </w:r>
      <w:r w:rsidDel="00000000" w:rsidR="00000000" w:rsidRPr="00000000">
        <w:rPr>
          <w:rtl w:val="0"/>
        </w:rPr>
        <w:t xml:space="preserve">”</w:t>
      </w:r>
      <w:r w:rsidDel="00000000" w:rsidR="00000000" w:rsidRPr="00000000">
        <w:rPr>
          <w:color w:val="000000"/>
          <w:rtl w:val="0"/>
        </w:rPr>
        <w:t xml:space="preserve">. Zmena prispieva k lepšej zrozumiteľnosti, jednoznačnosti a </w:t>
      </w:r>
      <w:r w:rsidDel="00000000" w:rsidR="00000000" w:rsidRPr="00000000">
        <w:rPr>
          <w:rtl w:val="0"/>
        </w:rPr>
        <w:t xml:space="preserve">jednotnosti</w:t>
      </w:r>
      <w:r w:rsidDel="00000000" w:rsidR="00000000" w:rsidRPr="00000000">
        <w:rPr>
          <w:color w:val="000000"/>
          <w:rtl w:val="0"/>
        </w:rPr>
        <w:t xml:space="preserve">i jazyka Štatútu. </w:t>
      </w:r>
      <w:r w:rsidDel="00000000" w:rsidR="00000000" w:rsidRPr="00000000">
        <w:rPr>
          <w:rtl w:val="0"/>
        </w:rPr>
        <w:t xml:space="preserve">Novela zároveň rozširuje zoznam subjektov oprávnených podávať podnety o orgány na riešenie sporov SFZ vymedzené v článku 35 ods. 4 Stanov SFZ (komora, disciplinárna komisia, odvolacia komisia a licenčné orgány), z ktorých odbornej činnosti často môžu vyplynúť poznatky o porušení Etického kódexu SFZ členmi SFZ, ktorých veci prerokúvajú.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425" w:right="0" w:hanging="425"/>
        <w:jc w:val="both"/>
      </w:pPr>
      <w:r w:rsidDel="00000000" w:rsidR="00000000" w:rsidRPr="00000000">
        <w:rPr>
          <w:b w:val="1"/>
          <w:rtl w:val="0"/>
        </w:rPr>
        <w:t xml:space="preserve">V </w:t>
      </w:r>
      <w:r w:rsidDel="00000000" w:rsidR="00000000" w:rsidRPr="00000000">
        <w:rPr>
          <w:b w:val="1"/>
          <w:rtl w:val="0"/>
        </w:rPr>
        <w:t xml:space="preserve">článku</w:t>
      </w:r>
      <w:r w:rsidDel="00000000" w:rsidR="00000000" w:rsidRPr="00000000">
        <w:rPr>
          <w:b w:val="1"/>
          <w:rtl w:val="0"/>
        </w:rPr>
        <w:t xml:space="preserve"> 2 sa za odsek 3 vkladá nový odsek 4, ktorý znie: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rtl w:val="0"/>
        </w:rPr>
        <w:t xml:space="preserve">,,(4) Komisia vybavuje podnety členov SFZ týkajúce sa porušenia konfliktu záujmov alebo nezlučiteľnosti výkonu funkcie v orgáne SFZ. Komisia môže </w:t>
      </w:r>
      <w:r w:rsidDel="00000000" w:rsidR="00000000" w:rsidRPr="00000000">
        <w:rPr>
          <w:rtl w:val="0"/>
        </w:rPr>
        <w:t xml:space="preserve">vo Veciach porušenia konfliktu záujmov alebo nezlučiteľnosti výkonu funkcie konať aj z vlastnej iniciatívy.”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Doterajšie odseky 4 až 10 sa označujú ako odseky 5 až 11.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76" w:lineRule="auto"/>
        <w:ind w:left="0" w:right="0" w:firstLine="0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Dôvod:</w:t>
      </w:r>
      <w:r w:rsidDel="00000000" w:rsidR="00000000" w:rsidRPr="00000000">
        <w:rPr>
          <w:rtl w:val="0"/>
        </w:rPr>
        <w:t xml:space="preserve"> Doplnenie odseku 4 do článku 2 sa navrhuje z dôvodu zosúladenia vecnej pôsobnosti Komisie podľa Štatútu so zmenami vykonanými v Stanovách SFZ, konkrétne s článkom 38a ods. 2 Stranov SFZ, podľa ktorého súlad výkonu funkcie člena orgánu SFZ s požiadavkami podľa </w:t>
      </w:r>
      <w:r w:rsidDel="00000000" w:rsidR="00000000" w:rsidRPr="00000000">
        <w:rPr>
          <w:rtl w:val="0"/>
        </w:rPr>
        <w:t xml:space="preserve">článku 38 Stanov SFZ alebo iného predpisu SFZ</w:t>
      </w:r>
      <w:r w:rsidDel="00000000" w:rsidR="00000000" w:rsidRPr="00000000">
        <w:rPr>
          <w:rtl w:val="0"/>
        </w:rPr>
        <w:t xml:space="preserve"> počas obdobia trvania ich funkcie v orgáne SFZ preskúmava a posudzuje Legislatívno-právna a etická komisia. Pôvodné znenie článku 2 Štatútu neumožňovalo priamo členom SFZ podávať takéto podnety, čím existoval rozpor medzi Štatútom a Stanovami SFZ. Doplnením odseku 4 sa táto nejasnosť odstraňuje a explicitne sa stanovuje, že Komisia vybavuje  podnety priamo od členov SFZ a rovnako môže konať aj z vlastnej iniciatívy na základe vlastných poznatkov Komisie z informácií získaných zo zápisníc orgánov SFZ, úradnej správy SFZ, ISSF, ale aj z médií, webových stránok, sociálnych sietí či vlastných zistení členmi Komisie z futbalového prostredia a pod. Týmto sa zabezpečuje transparentnosť a efektívne uplatňovanie ustanovení Stanov SFZ v aplikačnej praxi Komisie.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120" w:lineRule="auto"/>
        <w:ind w:left="420" w:hanging="4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V článku 4 odsek 1 sa za písmeno f) dopĺňa písmeno g), ktoré znie: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,,g)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preskúmanie a posúdenie súladu výkonu funkcie člena orgánu SFZ s požiadavkami podľa článku 38 Stanov SFZ alebo iného predpisu SFZ upravujúceho konflikt záujmov alebo nezlučiteľnos</w:t>
      </w:r>
      <w:r w:rsidDel="00000000" w:rsidR="00000000" w:rsidRPr="00000000">
        <w:rPr>
          <w:rtl w:val="0"/>
        </w:rPr>
        <w:t xml:space="preserve">ť výkonu funkcie </w:t>
      </w:r>
      <w:r w:rsidDel="00000000" w:rsidR="00000000" w:rsidRPr="00000000">
        <w:rPr>
          <w:color w:val="000000"/>
          <w:rtl w:val="0"/>
        </w:rPr>
        <w:t xml:space="preserve">v orgáne SFZ s výkonom inej činnosti alebo funkcie.“</w:t>
      </w:r>
    </w:p>
    <w:p w:rsidR="00000000" w:rsidDel="00000000" w:rsidP="00000000" w:rsidRDefault="00000000" w:rsidRPr="00000000" w14:paraId="00000020">
      <w:pPr>
        <w:spacing w:after="360" w:line="276" w:lineRule="auto"/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Dôvod:</w:t>
      </w:r>
      <w:r w:rsidDel="00000000" w:rsidR="00000000" w:rsidRPr="00000000">
        <w:rPr>
          <w:rtl w:val="0"/>
        </w:rPr>
        <w:t xml:space="preserve"> Doplnenie písmena g) do článku 4 ods. 1 sa navrhuje z dôvodu zosúladenia Štatútu so Stanovami SFZ, konkrétne s článkom 38, ktorý upravuje konflikt záujmov a nezlučiteľnosť funkcií. Rozšírením pôsobnosti Legislatívno-právnej a etickej komisie SFZ v Štatúte sa zabezpečí efektívne a transparentné uplatňovanie tohto ustanovenia Stanov nezávislým orgánom, prispeje sa k prevencii vzniku konfliktu záujmov, posilní sa nezávislosť a objektivita rozhodovania orgánov SFZ, zvýši sa dôvera verejnosti v činnosť SFZ a zabezpečí sa priama aplikovateľnosť ustanovení Stanov v praxi.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120" w:lineRule="auto"/>
        <w:ind w:left="420" w:hanging="420"/>
        <w:jc w:val="both"/>
        <w:rPr/>
      </w:pPr>
      <w:r w:rsidDel="00000000" w:rsidR="00000000" w:rsidRPr="00000000">
        <w:rPr>
          <w:b w:val="1"/>
          <w:rtl w:val="0"/>
        </w:rPr>
        <w:t xml:space="preserve">V článku 12 odsek 13 znie: </w:t>
      </w:r>
    </w:p>
    <w:p w:rsidR="00000000" w:rsidDel="00000000" w:rsidP="00000000" w:rsidRDefault="00000000" w:rsidRPr="00000000" w14:paraId="00000022">
      <w:pPr>
        <w:spacing w:after="120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,,(13) Funkcionári SFZ, administratíva SFZ a funkcionári regionálnych a oblastných futbalových zväzov, ako aj iní členovia SFZ, sú povinní </w:t>
      </w:r>
      <w:r w:rsidDel="00000000" w:rsidR="00000000" w:rsidRPr="00000000">
        <w:rPr>
          <w:b w:val="1"/>
          <w:rtl w:val="0"/>
        </w:rPr>
        <w:t xml:space="preserve">sa na výzvu predsedu Komisie dostaviť na zasadnutie Komisie a úplne a pravdivo vypovedať o okolnostiach rozhodujúcich pre riadne plnenie úloh Komisie." </w:t>
      </w:r>
    </w:p>
    <w:p w:rsidR="00000000" w:rsidDel="00000000" w:rsidP="00000000" w:rsidRDefault="00000000" w:rsidRPr="00000000" w14:paraId="00000023">
      <w:pPr>
        <w:spacing w:after="360" w:line="276" w:lineRule="auto"/>
        <w:ind w:left="0" w:firstLine="0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Dôvod: </w:t>
      </w:r>
      <w:r w:rsidDel="00000000" w:rsidR="00000000" w:rsidRPr="00000000">
        <w:rPr>
          <w:rtl w:val="0"/>
        </w:rPr>
        <w:t xml:space="preserve">S ohľadom na rozšírenie pôsobnosti Komisie o oblasť dodržiavania Etického kódexu SFZ, konfliktu záujmov a </w:t>
      </w:r>
      <w:r w:rsidDel="00000000" w:rsidR="00000000" w:rsidRPr="00000000">
        <w:rPr>
          <w:rtl w:val="0"/>
        </w:rPr>
        <w:t xml:space="preserve">nezlučiteľnosti</w:t>
      </w:r>
      <w:r w:rsidDel="00000000" w:rsidR="00000000" w:rsidRPr="00000000">
        <w:rPr>
          <w:rtl w:val="0"/>
        </w:rPr>
        <w:t xml:space="preserve"> výkonu funkcie v orgáne SFZ, a za účelom zabezpečenia riadneho a efektívneho objasnenia skutkového stavu vybavovaných vecí, ktorý je kľúčový pre spravodlivé a objektívne rozhodovanie, sa v článku 12 upravuje znenie odseku 13. Uvedené doplnenie umožní predvolať a požiadať o vyjadrenie  relevantné osoby (doposiaľ bolo možné vypočúvať iba funkcionárov SFZ), akými sú napríklad hráči, tréneri a iní športoví odborníci, zástupcovia klubov a iní členovia SFZ, ktorých dostavenie sa na zasadnutie Komisie po výzve predsedu Komisie a ich úplné a pravdivé vyjadrenie  je v týchto veciach často nevyhnutné na spoľahlivé zistenie skutkového stavu ako základného predpokladu pre posúdenie veci a spravodlivé rozhodnutie Komisie.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120" w:lineRule="auto"/>
        <w:ind w:left="420" w:hanging="420"/>
        <w:jc w:val="both"/>
        <w:rPr/>
      </w:pPr>
      <w:r w:rsidDel="00000000" w:rsidR="00000000" w:rsidRPr="00000000">
        <w:rPr>
          <w:b w:val="1"/>
          <w:rtl w:val="0"/>
        </w:rPr>
        <w:t xml:space="preserve">V článku 14 sa za odsek 3 vkladá odsek 4, ktorý znie:</w:t>
      </w:r>
    </w:p>
    <w:p w:rsidR="00000000" w:rsidDel="00000000" w:rsidP="00000000" w:rsidRDefault="00000000" w:rsidRPr="00000000" w14:paraId="00000025">
      <w:pPr>
        <w:spacing w:after="120" w:lineRule="auto"/>
        <w:jc w:val="both"/>
        <w:rPr/>
      </w:pPr>
      <w:r w:rsidDel="00000000" w:rsidR="00000000" w:rsidRPr="00000000">
        <w:rPr>
          <w:rtl w:val="0"/>
        </w:rPr>
        <w:t xml:space="preserve">„Ak sa vyhotovuje písomné odôvodnenie prijatého rozhodnutia/záveru, vypracúva ho Spravodajca Veci. Ak Spravodajca Veci nehlasoval za prijatie rozhodnutia/záveru, odôvodnenie vypracuje iný člen Komisie, ktorý hlasoval za prijatie rozhodnutia/záveru, určený predsedom Komisie.“</w:t>
      </w:r>
    </w:p>
    <w:p w:rsidR="00000000" w:rsidDel="00000000" w:rsidP="00000000" w:rsidRDefault="00000000" w:rsidRPr="00000000" w14:paraId="00000026">
      <w:pPr>
        <w:spacing w:after="360" w:line="276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Dôvod: </w:t>
      </w:r>
      <w:r w:rsidDel="00000000" w:rsidR="00000000" w:rsidRPr="00000000">
        <w:rPr>
          <w:rtl w:val="0"/>
        </w:rPr>
        <w:t xml:space="preserve">Doterajšie znenie článku 14 sa venovalo výlučne zaznamenávaniu odlišných názorov jednotlivých členov Komisie a neobsahovalo žiadne ustanovenia o tom, kto a ako má vypracovať odôvodnenie prijatého rozhodnutia/záveru. Cieľom tejto zmeny je teda vyplniť predmetnú legislatívnu medzeru a zabezpečiť zodpovednosť, transparentnosť a efektívnosť procesu odôvodňovania rozhodnutí/záverov. Nová úprava explicitne určuje Spravodajcu Veci ako osobu zodpovednú za vypracovanie odôvodnenia a zároveň rieši aj situáciu, keď Spravodajca Veci nehlasoval za prijatie rozhodnutia/záveru. Toto riešenie predchádza nejasnostiam a sporom, zabezpečuje konzistentnosť odôvodnenia s prijatým rozhodnutím/záverom a prispieva k zvýšeniu kvality odôvodnení rozhodnutí/záverov a posilneniu právnej istoty v súvislosti s nimi.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120" w:lineRule="auto"/>
        <w:ind w:left="420" w:hanging="420"/>
        <w:jc w:val="both"/>
        <w:rPr/>
      </w:pPr>
      <w:r w:rsidDel="00000000" w:rsidR="00000000" w:rsidRPr="00000000">
        <w:rPr>
          <w:b w:val="1"/>
          <w:rtl w:val="0"/>
        </w:rPr>
        <w:t xml:space="preserve">Za článok 18 sa vkladá článok 18a, ktorý vrátane nadpisu znie: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6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“Článok 18a</w:t>
      </w:r>
    </w:p>
    <w:p w:rsidR="00000000" w:rsidDel="00000000" w:rsidP="00000000" w:rsidRDefault="00000000" w:rsidRPr="00000000" w14:paraId="0000002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Osobitné konanie pri postupe podľa čl. 38a Stanov SFZ</w:t>
      </w:r>
    </w:p>
    <w:p w:rsidR="00000000" w:rsidDel="00000000" w:rsidP="00000000" w:rsidRDefault="00000000" w:rsidRPr="00000000" w14:paraId="0000002A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Komisia </w:t>
      </w:r>
      <w:r w:rsidDel="00000000" w:rsidR="00000000" w:rsidRPr="00000000">
        <w:rPr>
          <w:i w:val="0"/>
          <w:color w:val="000000"/>
          <w:rtl w:val="0"/>
        </w:rPr>
        <w:t xml:space="preserve">pri vybavovaní </w:t>
      </w:r>
      <w:r w:rsidDel="00000000" w:rsidR="00000000" w:rsidRPr="00000000">
        <w:rPr>
          <w:color w:val="000000"/>
          <w:rtl w:val="0"/>
        </w:rPr>
        <w:t xml:space="preserve">Vecí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týkajúcich sa porušenia konfliktu záujmov alebo nezlučiteľnosti výkonu funkcie v orgáne </w:t>
      </w:r>
      <w:r w:rsidDel="00000000" w:rsidR="00000000" w:rsidRPr="00000000">
        <w:rPr>
          <w:rtl w:val="0"/>
        </w:rPr>
        <w:t xml:space="preserve">SFZ</w:t>
      </w:r>
      <w:r w:rsidDel="00000000" w:rsidR="00000000" w:rsidRPr="00000000">
        <w:rPr>
          <w:color w:val="000000"/>
          <w:rtl w:val="0"/>
        </w:rPr>
        <w:t xml:space="preserve"> postupuje podľa čl. 38a Stanov SFZ </w:t>
      </w:r>
      <w:r w:rsidDel="00000000" w:rsidR="00000000" w:rsidRPr="00000000">
        <w:rPr>
          <w:rtl w:val="0"/>
        </w:rPr>
        <w:t xml:space="preserve">a ďalších predpisov SFZ</w:t>
      </w:r>
      <w:r w:rsidDel="00000000" w:rsidR="00000000" w:rsidRPr="00000000">
        <w:rPr>
          <w:color w:val="000000"/>
          <w:rtl w:val="0"/>
        </w:rPr>
        <w:t xml:space="preserve">.“</w:t>
      </w:r>
    </w:p>
    <w:p w:rsidR="00000000" w:rsidDel="00000000" w:rsidP="00000000" w:rsidRDefault="00000000" w:rsidRPr="00000000" w14:paraId="0000002B">
      <w:pPr>
        <w:spacing w:after="360" w:line="276" w:lineRule="auto"/>
        <w:jc w:val="both"/>
        <w:rPr>
          <w:color w:val="000000"/>
        </w:rPr>
      </w:pPr>
      <w:r w:rsidDel="00000000" w:rsidR="00000000" w:rsidRPr="00000000">
        <w:rPr>
          <w:b w:val="1"/>
          <w:i w:val="1"/>
          <w:rtl w:val="0"/>
        </w:rPr>
        <w:t xml:space="preserve">Dôvod:</w:t>
      </w:r>
      <w:r w:rsidDel="00000000" w:rsidR="00000000" w:rsidRPr="00000000">
        <w:rPr>
          <w:rtl w:val="0"/>
        </w:rPr>
        <w:t xml:space="preserve"> Vloženie nového článku 18a za článok 18 Štatútu, ktorý odkazuje na článok 38a Stanov SFZ, kde je upravený postup Komisie vo veciach porušenia konfliktu záujmov a nezlučiteľnosti výkonu funkcie, je vhodné a potrebné pre jasné prepojenie oboch spomínaných predpisov SFZ a explicitné vyjadrenie odkazu na pravidlá pre postup Komisie v oblasti konfliktu záujmov a nezlučiteľnosti výkonu funkcie v článku 38a Stanov SFZ. Vďaka tomuto prepojeniu sa zároveň zabezpečuje právna istota a predchádza interpretačným nejasnostiam. Okrem článku 38a Stanov SFZ sa pri postupe Komisie použijú aj ďalšie predpisy SFZ, najmä Štatút Komisie ale aj predpisy upravujúce odvolacie konanie, hlasovanie per rollam a pod. Zaradenie článku 18a za článok 18 sleduje systematické usporiadanie a prehľadnosť Štatútu. Ak v budúcnosti z praxe vyvstane potreba doplniť ďalšie osobitné pravidlá pre postup Komisie vo veciach </w:t>
      </w:r>
      <w:r w:rsidDel="00000000" w:rsidR="00000000" w:rsidRPr="00000000">
        <w:rPr>
          <w:rtl w:val="0"/>
        </w:rPr>
        <w:t xml:space="preserve">porušenia konfliktu záujmov a nezlučiteľnosti výkonu funkcie</w:t>
      </w:r>
      <w:r w:rsidDel="00000000" w:rsidR="00000000" w:rsidRPr="00000000">
        <w:rPr>
          <w:rtl w:val="0"/>
        </w:rPr>
        <w:t xml:space="preserve">, tieto budú dopĺňané systematicky do článku 18a.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360" w:lineRule="auto"/>
        <w:ind w:left="44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Čl. II</w:t>
      </w:r>
    </w:p>
    <w:p w:rsidR="00000000" w:rsidDel="00000000" w:rsidP="00000000" w:rsidRDefault="00000000" w:rsidRPr="00000000" w14:paraId="0000002D">
      <w:pPr>
        <w:spacing w:after="360" w:lineRule="auto"/>
        <w:ind w:left="560" w:firstLine="0"/>
        <w:jc w:val="both"/>
        <w:rPr/>
      </w:pPr>
      <w:r w:rsidDel="00000000" w:rsidR="00000000" w:rsidRPr="00000000">
        <w:rPr>
          <w:rtl w:val="0"/>
        </w:rPr>
        <w:t xml:space="preserve">Tento štatút nadobúda účinnosť dňom schválenia VV SFZ.</w:t>
      </w:r>
    </w:p>
    <w:p w:rsidR="00000000" w:rsidDel="00000000" w:rsidP="00000000" w:rsidRDefault="00000000" w:rsidRPr="00000000" w14:paraId="0000002E">
      <w:pPr>
        <w:spacing w:before="220" w:lineRule="auto"/>
        <w:ind w:left="57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u w:val="none"/>
        <w:shd w:fill="auto" w:val="clear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