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1036" w14:textId="77777777" w:rsidR="00F53BE0" w:rsidRPr="00CB0A2A" w:rsidRDefault="007F5969" w:rsidP="00F53BE0">
      <w:pPr>
        <w:pStyle w:val="Body"/>
        <w:rPr>
          <w:rFonts w:ascii="Calibri" w:eastAsia="Avenir Next" w:hAnsi="Calibri" w:cs="Calibri"/>
          <w:b/>
          <w:sz w:val="22"/>
          <w:szCs w:val="22"/>
        </w:rPr>
      </w:pPr>
      <w:r w:rsidRPr="00CB0A2A">
        <w:rPr>
          <w:rFonts w:ascii="Calibri" w:eastAsia="Avenir Next" w:hAnsi="Calibri" w:cs="Calibri"/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 wp14:anchorId="2281F483" wp14:editId="6E8E1B3B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24D443" w14:textId="77777777" w:rsidR="00F53BE0" w:rsidRPr="00CB0A2A" w:rsidRDefault="00F53BE0" w:rsidP="00F53BE0">
      <w:pPr>
        <w:pStyle w:val="Body"/>
        <w:rPr>
          <w:rFonts w:ascii="Calibri" w:eastAsia="Avenir Next" w:hAnsi="Calibri" w:cs="Calibri"/>
          <w:b/>
          <w:sz w:val="22"/>
          <w:szCs w:val="22"/>
        </w:rPr>
      </w:pPr>
    </w:p>
    <w:p w14:paraId="19EFF6B8" w14:textId="77777777" w:rsidR="00CB0A2A" w:rsidRPr="00CB0A2A" w:rsidRDefault="00CB0A2A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</w:p>
    <w:p w14:paraId="25D8A54C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540" w:lineRule="atLeast"/>
        <w:jc w:val="center"/>
        <w:outlineLvl w:val="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PRESTUPOVÝ PORIADOK</w:t>
      </w:r>
      <w:r w:rsidR="004C2E5E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SATKD</w:t>
      </w:r>
    </w:p>
    <w:p w14:paraId="034A0DC9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jc w:val="center"/>
        <w:outlineLvl w:val="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Čl. 1 Preambula</w:t>
      </w:r>
    </w:p>
    <w:p w14:paraId="4AFF7BD6" w14:textId="77777777" w:rsidR="00CB0A2A" w:rsidRPr="00CB0A2A" w:rsidRDefault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  <w:pPrChange w:id="0" w:author="Vladimira Sreinerova" w:date="2025-03-06T21:11:00Z" w16du:dateUtc="2025-03-06T20:11:00Z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240" w:line="380" w:lineRule="atLeast"/>
            <w:ind w:left="720"/>
          </w:pPr>
        </w:pPrChange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1.1.  Hlavným poslaním pri realizácii prestupu alebo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je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vytvárať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kvalitné podmienky pre plné uplatnenie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športovcov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pre ich výkonnostný rast pri rešpektovaní oprávnených záujmov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Zmeny klubovej príslušnosti v zmysle tohto prestupového poriadku musia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napomáhať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talentovaným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športovcom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prestúpiť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 klubov, v ktorých budú mať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zabezpečený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svoj športový - výkonnostný rast, sociálne, pracovné či študijné podmienky v súlade so slobodnou </w:t>
      </w:r>
      <w:r w:rsidR="00454DB3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v</w:t>
      </w:r>
      <w:r w:rsidR="00454DB3">
        <w:rPr>
          <w:rFonts w:ascii="Calibri" w:hAnsi="Calibri" w:cs="Calibri"/>
          <w:color w:val="000000"/>
          <w:sz w:val="22"/>
          <w:szCs w:val="22"/>
          <w:lang w:val="sk-SK" w:eastAsia="sk-SK"/>
        </w:rPr>
        <w:t>ô</w:t>
      </w:r>
      <w:r w:rsidR="00454DB3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ľou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voľby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ako i </w:t>
      </w:r>
      <w:r w:rsidR="00454DB3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v</w:t>
      </w:r>
      <w:r w:rsidR="00454DB3">
        <w:rPr>
          <w:rFonts w:ascii="Calibri" w:hAnsi="Calibri" w:cs="Calibri"/>
          <w:color w:val="000000"/>
          <w:sz w:val="22"/>
          <w:szCs w:val="22"/>
          <w:lang w:val="sk-SK" w:eastAsia="sk-SK"/>
        </w:rPr>
        <w:t>ô</w:t>
      </w:r>
      <w:r w:rsidR="00454DB3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ľou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ich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rodičov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ak ide o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mladšieho ako 18 rokov.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63E93D7" w14:textId="77777777" w:rsidR="00E93C3F" w:rsidRDefault="00CB0A2A" w:rsidP="00410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1.2.  Prestupový poriadok stanovuje podmienky, za ktorých sa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uskutočňujú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zmeny trvalej alebo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dočasnej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príslušnosti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( 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voľný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E93C3F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, 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zmluvný </w:t>
      </w:r>
      <w:r w:rsidR="00E93C3F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) ku klubom. Každý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ktorý je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držiteľom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licencie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podľa platn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ých podmienok 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má právo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požiadať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 zmenu trvalej alebo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dočasnej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príslušnosti klubu formou – Prestupu alebo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69BA7A71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Čl. 2 Základné definície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31F82B00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2.1.  </w:t>
      </w:r>
      <w:r w:rsidR="00E93C3F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– osoba, žena alebo muž, ktorý má vydanú platnú licenciu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športovca.</w:t>
      </w:r>
    </w:p>
    <w:p w14:paraId="189672B3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2.2.  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Domáci klub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– klub ako riadny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člen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5EBAEC61" w14:textId="77777777" w:rsidR="00E93C3F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2.3.  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Zahraničný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klub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klub evidovaný inou federáciou v krajinách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WT, WTE.</w:t>
      </w:r>
    </w:p>
    <w:p w14:paraId="440B3DA6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2.4.  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Prestup domáci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– trvalá zmena príslušnosti z domáceho klubu na iný domáci</w:t>
      </w:r>
      <w:r w:rsidR="00E93C3F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klub.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E48DF2B" w14:textId="77777777" w:rsidR="00E93C3F" w:rsidRDefault="00E93C3F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2.5. </w:t>
      </w:r>
      <w:r w:rsidR="00CB0A2A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Prestup do 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zahraničia</w:t>
      </w:r>
      <w:r w:rsidR="00CB0A2A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trvalá zmena príslušnosti z domáceho klubu na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zahraničný</w:t>
      </w:r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klub</w:t>
      </w:r>
      <w:r>
        <w:rPr>
          <w:rFonts w:ascii="Calibri" w:hAnsi="Calibri" w:cs="Calibri"/>
          <w:color w:val="000000"/>
          <w:sz w:val="22"/>
          <w:szCs w:val="22"/>
          <w:lang w:val="sk-SK" w:eastAsia="sk-SK"/>
        </w:rPr>
        <w:t>.</w:t>
      </w:r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</w:p>
    <w:p w14:paraId="4CA67AF8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2.6.  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Prestup zo 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trvalá zmena príslušnosti zo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zahraničného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klubu na domáci klub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.</w:t>
      </w:r>
    </w:p>
    <w:p w14:paraId="29C849CC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2.7.  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domáce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dočasná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zmena príslušnosti z domáceho klubu na iný domáci klub s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povinnosťou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vrátiť sa len do domáceho klubu,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odišiel na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trvá do 30.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12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v príslušnom kalendárnom roku.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domáce je možné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urobiť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pre všetky kategórie.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3C3D873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2.8.  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do 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dočasná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zmena príslušnosti z domáceho klubu na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zahraničný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klub s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povinnosťou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SR vrátiť sa len do domáceho klubu,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odišiel na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B53763E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lastRenderedPageBreak/>
        <w:t>2.9.  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zo 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dočasná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zmena príslušnosti zo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zahraničného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klubu mimo na domáci klub.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1BEBE06C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2.10. 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Ukončenie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–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riadne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končí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</w:t>
      </w:r>
      <w:r w:rsidR="0037403D">
        <w:rPr>
          <w:rFonts w:ascii="Calibri" w:hAnsi="Calibri" w:cs="Calibri"/>
          <w:color w:val="000000"/>
          <w:sz w:val="22"/>
          <w:szCs w:val="22"/>
          <w:lang w:val="sk-SK" w:eastAsia="sk-SK"/>
        </w:rPr>
        <w:t> 31.12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v príslušnom kalendárnom roku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.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</w:p>
    <w:p w14:paraId="430D560B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2.1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1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Voľný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- 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ktorý nemá uzatvorenú zmluvu s klubom, v ktorom je registrovaný 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1AAB06C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2.1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2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mluva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– zmluva medzi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športovcom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a klubom ku ktorému má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F0735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príslušnosť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rámci S</w:t>
      </w:r>
      <w:r w:rsidR="0037403D">
        <w:rPr>
          <w:rFonts w:ascii="Calibri" w:hAnsi="Calibri" w:cs="Calibri"/>
          <w:color w:val="000000"/>
          <w:sz w:val="22"/>
          <w:szCs w:val="22"/>
          <w:lang w:val="sk-SK" w:eastAsia="sk-SK"/>
        </w:rPr>
        <w:t>A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ktorá je v súlade so zákonom o športe.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3C3F0390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2.1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3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Zmluvný </w:t>
      </w:r>
      <w:r w:rsid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športovec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- 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ktorý má uzatvorenú platnú zmluvu s klubom, ku ktorému má príslušnosť alebo s klubom, v ktorom je na hosťovaní.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58788D8B" w14:textId="77777777" w:rsidR="007534F2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2.1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4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Výchovné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– </w:t>
      </w:r>
      <w:r w:rsidR="0037403D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je to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poplatok </w:t>
      </w:r>
      <w:r w:rsidR="0037403D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materskému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klubu</w:t>
      </w:r>
      <w:r w:rsidR="0037403D">
        <w:rPr>
          <w:rFonts w:ascii="Calibri" w:hAnsi="Calibri" w:cs="Calibri"/>
          <w:color w:val="000000"/>
          <w:sz w:val="22"/>
          <w:szCs w:val="22"/>
          <w:lang w:val="sk-SK" w:eastAsia="sk-SK"/>
        </w:rPr>
        <w:t>, hradený klubom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 ktorého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dza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alebo po dohode týchto klubov aj inému klubu.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23DAEC5B" w14:textId="77777777" w:rsidR="007534F2" w:rsidRDefault="007534F2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20AA3740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Čl. 3</w:t>
      </w:r>
      <w:r w:rsidRPr="00CB0A2A">
        <w:rPr>
          <w:rFonts w:ascii="MS Gothic" w:eastAsia="MS Gothic" w:hAnsi="MS Gothic" w:cs="MS Gothic"/>
          <w:b/>
          <w:bCs/>
          <w:color w:val="000000"/>
          <w:sz w:val="22"/>
          <w:szCs w:val="22"/>
          <w:lang w:val="sk-SK" w:eastAsia="sk-SK"/>
        </w:rPr>
        <w:t> 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Podanie Prestupu alebo </w:t>
      </w:r>
      <w:r w:rsidR="004C2E5E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3D166412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3.1.  Podanie Prestupu domáceho,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domáceho, Prestupu do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Prestupu zo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je možné </w:t>
      </w:r>
      <w:r w:rsidR="007534F2" w:rsidRPr="00F07352">
        <w:rPr>
          <w:rFonts w:ascii="Calibri" w:hAnsi="Calibri" w:cs="Calibri"/>
          <w:color w:val="000000" w:themeColor="text1"/>
          <w:sz w:val="22"/>
          <w:szCs w:val="22"/>
          <w:lang w:val="sk-SK" w:eastAsia="sk-SK"/>
        </w:rPr>
        <w:t>kedykoľvek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počas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kalendárneho roku.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1F09EDDE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3.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2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Podanie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p</w:t>
      </w:r>
      <w:r w:rsidRPr="007534F2">
        <w:rPr>
          <w:rFonts w:ascii="Calibri" w:hAnsi="Calibri" w:cs="Calibri"/>
          <w:bCs/>
          <w:color w:val="000000"/>
          <w:sz w:val="22"/>
          <w:szCs w:val="22"/>
          <w:lang w:val="sk-SK" w:eastAsia="sk-SK"/>
        </w:rPr>
        <w:t>restupu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a hosťovania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sa realizuje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podaním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príslušného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tlačiva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na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Matriku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/matrikárovi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SATKD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ktorý obsahuje: </w:t>
      </w:r>
    </w:p>
    <w:p w14:paraId="5AF723A1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a)  identifikáciu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561ECA5A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b)  podpis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pri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športovcoch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do 18 rokov podpis zákonného zástupcu,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645C9FD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c)  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označenie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či ide o prestup alebo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6E62F34E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d)  identifikáciu klubu, do ktorého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prichádza,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651CF60A" w14:textId="11530DD4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e)  podpisy, prípadne aj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pečiatku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dvoch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určených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zástupcov klubu, do ktorého</w:t>
      </w:r>
      <w:r w:rsidR="007534F2"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prichádza</w:t>
      </w:r>
      <w:r w:rsidR="002B3364">
        <w:rPr>
          <w:rFonts w:ascii="Calibri" w:hAnsi="Calibri" w:cs="Calibri"/>
          <w:color w:val="000000"/>
          <w:sz w:val="22"/>
          <w:szCs w:val="22"/>
          <w:lang w:val="sk-SK" w:eastAsia="sk-SK"/>
        </w:rPr>
        <w:t>,</w:t>
      </w:r>
    </w:p>
    <w:p w14:paraId="2317BD78" w14:textId="5251381A" w:rsidR="007534F2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f) identifikáciu klubu,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</w:t>
      </w:r>
      <w:r w:rsidR="002B3364">
        <w:rPr>
          <w:rFonts w:ascii="Calibri" w:hAnsi="Calibri" w:cs="Calibri"/>
          <w:color w:val="000000"/>
          <w:sz w:val="22"/>
          <w:szCs w:val="22"/>
          <w:lang w:val="sk-SK" w:eastAsia="sk-SK"/>
        </w:rPr>
        <w:t>,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60CC6448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g) podpisy, prípadne aj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pečiatku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dvoch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určených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zástupcov klubu,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športovca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odchádza. </w:t>
      </w:r>
    </w:p>
    <w:p w14:paraId="1C300722" w14:textId="77777777" w:rsidR="00CB0A2A" w:rsidRPr="007534F2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3.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3</w:t>
      </w: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Podanie o </w:t>
      </w:r>
      <w:r w:rsidR="007534F2" w:rsidRP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predčasnom</w:t>
      </w:r>
      <w:r w:rsidRP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 w:rsidRP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ukončení</w:t>
      </w:r>
      <w:r w:rsidRP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hosťovania</w:t>
      </w: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sa podáva </w:t>
      </w:r>
      <w:r w:rsidR="007534F2"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doručením</w:t>
      </w:r>
      <w:r w:rsidR="007534F2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 xml:space="preserve"> </w:t>
      </w: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oznámenia na Matriku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/matrikára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7534F2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98E692E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lastRenderedPageBreak/>
        <w:t>3.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4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Podania nepodané správne alebo inak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ako predpísaným spôsobom Matrika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/matrikár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odmietne.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67661500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3.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5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Podanie 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v čase platnosti iného 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toho istého</w:t>
      </w:r>
      <w:r w:rsidR="007534F2"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Matrika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odmietne.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5240949D" w14:textId="77777777" w:rsidR="007903ED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3.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6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7534F2">
        <w:rPr>
          <w:rFonts w:ascii="Calibri" w:hAnsi="Calibri" w:cs="Calibri"/>
          <w:b/>
          <w:color w:val="000000"/>
          <w:sz w:val="22"/>
          <w:szCs w:val="22"/>
          <w:lang w:val="sk-SK" w:eastAsia="sk-SK"/>
        </w:rPr>
        <w:t> </w:t>
      </w:r>
      <w:r w:rsidR="007534F2" w:rsidRPr="007534F2">
        <w:rPr>
          <w:rFonts w:ascii="Calibri" w:hAnsi="Calibri" w:cs="Calibri"/>
          <w:b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, alebo klub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do ktorého </w:t>
      </w:r>
      <w:r w:rsidR="00454DB3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="00454DB3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prichádza je povinný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uhradiť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poplatky predpísane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a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 WT, WTE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určeným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spôsobom. V prípade neuhradenia poplatku najneskôr v deň podania má Matrika S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právo podanie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odmietnuť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12922F4B" w14:textId="77777777" w:rsidR="007903ED" w:rsidRDefault="007903ED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</w:pPr>
    </w:p>
    <w:p w14:paraId="0D2D0513" w14:textId="77777777" w:rsidR="00CB0A2A" w:rsidRPr="00CB0A2A" w:rsidRDefault="00CB0A2A" w:rsidP="00B24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Čl. 4</w:t>
      </w:r>
      <w:r w:rsidRPr="00CB0A2A">
        <w:rPr>
          <w:rFonts w:ascii="MS Gothic" w:eastAsia="MS Gothic" w:hAnsi="MS Gothic" w:cs="MS Gothic"/>
          <w:b/>
          <w:bCs/>
          <w:color w:val="000000"/>
          <w:sz w:val="22"/>
          <w:szCs w:val="22"/>
          <w:lang w:val="sk-SK" w:eastAsia="sk-SK"/>
        </w:rPr>
        <w:t> 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Vybavenie Prestupu alebo </w:t>
      </w:r>
      <w:r w:rsidR="007903ED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13285F8E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4.1.  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spracuje podania v poradí ako mu boli doručené. V prípade podania viacerých podaní v čase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nie je právoplatne rozhodnuté o predchádzajúcom podaní, všetky následné podania odmietne.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EE6802A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4.2.  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je povinný sa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riadiť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ustanoveniami tohto Prestupového poriadku a v prípade Prestupov a Hosťovaní do a zo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musí prihliadať aj na príslušné predpisy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WT a WTE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3BCF79DD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4.3.  Ak podanie neobsahuje vyjadrenie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odchádza, 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si ho vyžiada na príslušnom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tlačive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lehote do 5 dní. V prípade, že 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nedostane vyjadrenie na príslušnom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tlačive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 15 dní od vyžiadania, považuje sa to za súhlas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odchádza. 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je povinný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urgovať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vyjadrenie až do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konečného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vyjadrenia klubu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.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</w:p>
    <w:p w14:paraId="2182EC61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4.4.  V prípade súhlasu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 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Prestup alebo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schváli. Výchovné v stanovenej výške alebo podľa dohody dotknutých klubov musí byť vyplatené.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36B2F797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0AD13819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4.5.  Súhlas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odchádza, môže u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ktorý nemá s klubom,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 uzatvorenú zmluvu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nahradiť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 podaniu priložená uzatvorená zmluva s klubom, do ktorého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prichádza. Toto platí aj v prípade nesúhlasného stanoviska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odchádza. Výchovné však musí byť uhradené.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1761BB33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4.6.  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je povinný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rozhodnúť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 podaní najneskôr do 5 dní od získania vyjadrenia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odchádza, alebo od uplynutia lehoty pre takéto vyjadrenie.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  </w:t>
      </w:r>
    </w:p>
    <w:p w14:paraId="1B575C23" w14:textId="77777777" w:rsid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4.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7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 O vybavení podania je 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povinný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informovať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̌ na oficiálnej webovej stránke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1765E92" w14:textId="77777777" w:rsidR="007903ED" w:rsidRPr="00CB0A2A" w:rsidRDefault="007903ED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3516AED4" w14:textId="77777777" w:rsidR="00CB0A2A" w:rsidRPr="00CB0A2A" w:rsidRDefault="00CB0A2A" w:rsidP="00B24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lastRenderedPageBreak/>
        <w:t>Čl. 5</w:t>
      </w:r>
      <w:r w:rsidRPr="00CB0A2A">
        <w:rPr>
          <w:rFonts w:ascii="MS Gothic" w:eastAsia="MS Gothic" w:hAnsi="MS Gothic" w:cs="MS Gothic"/>
          <w:b/>
          <w:bCs/>
          <w:color w:val="000000"/>
          <w:sz w:val="22"/>
          <w:szCs w:val="22"/>
          <w:lang w:val="sk-SK" w:eastAsia="sk-SK"/>
        </w:rPr>
        <w:t> 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Podanie námietky voči schváleniu alebo neschváleniu Prestupu alebo </w:t>
      </w:r>
      <w:r w:rsidR="007903ED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23DBFCD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5.1.  Proti rozhodnutiu Matriky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môže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podať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námietku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klub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 alebo klub kam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prichádza do 10 dní od rozhodnutia Matriky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na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disciplinárnu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komisiu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55F3F712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5.2.  Podanie musí byť urobené písomne a musí byť uhradený stanovený poplatok najneskôr v deň podania.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B5A5CBC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5.3.  Podanie pozastavuje rozhodnutie Matriky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 rozhodnutia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disciplinárnej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komisie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</w:p>
    <w:p w14:paraId="24A4610E" w14:textId="77777777" w:rsidR="004C2E5E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5.4.  O námietke musí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rozhodnúť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disciplinárna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komisia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na svojom najbližšom zasadnutí, najneskôr však do 60 dní od podania námietky.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512C17DF" w14:textId="77777777" w:rsidR="004C2E5E" w:rsidRDefault="004C2E5E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239CB249" w14:textId="77777777" w:rsidR="00CB0A2A" w:rsidRPr="00CB0A2A" w:rsidRDefault="00CB0A2A" w:rsidP="00B24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Čl. 6 Výchovné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D70600D" w14:textId="77777777" w:rsid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6.1. Výchovné za prestup a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tuzemsku a do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je ponechané na vzájomnej dohode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zúčastnených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klubov. </w:t>
      </w:r>
    </w:p>
    <w:p w14:paraId="6B21C224" w14:textId="77777777" w:rsidR="00454DB3" w:rsidRPr="00CB0A2A" w:rsidRDefault="00454DB3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>
        <w:rPr>
          <w:rFonts w:ascii="Calibri" w:hAnsi="Calibri" w:cs="Calibri"/>
          <w:color w:val="000000"/>
          <w:sz w:val="22"/>
          <w:szCs w:val="22"/>
          <w:lang w:val="sk-SK" w:eastAsia="sk-SK"/>
        </w:rPr>
        <w:t>6.2. V prípade, že sa kluby nedohodnú</w:t>
      </w:r>
      <w:r w:rsidR="00F07352">
        <w:rPr>
          <w:rFonts w:ascii="Calibri" w:hAnsi="Calibri" w:cs="Calibri"/>
          <w:color w:val="000000"/>
          <w:sz w:val="22"/>
          <w:szCs w:val="22"/>
          <w:lang w:val="sk-SK" w:eastAsia="sk-SK"/>
        </w:rPr>
        <w:t>,</w:t>
      </w:r>
      <w:r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môže rozhodnúť VV SATKD na základe podaných argumentov.</w:t>
      </w:r>
    </w:p>
    <w:p w14:paraId="0921BCBE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6E527A98" w14:textId="77777777" w:rsidR="00CB0A2A" w:rsidRPr="00CB0A2A" w:rsidRDefault="00CB0A2A" w:rsidP="00E70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jc w:val="center"/>
        <w:outlineLvl w:val="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proofErr w:type="spellStart"/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Čl</w:t>
      </w:r>
      <w:proofErr w:type="spellEnd"/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. 7</w:t>
      </w:r>
      <w:r w:rsidRPr="00CB0A2A">
        <w:rPr>
          <w:rFonts w:ascii="MS Gothic" w:eastAsia="MS Gothic" w:hAnsi="MS Gothic" w:cs="MS Gothic"/>
          <w:b/>
          <w:bCs/>
          <w:color w:val="000000"/>
          <w:sz w:val="22"/>
          <w:szCs w:val="22"/>
          <w:lang w:val="sk-SK" w:eastAsia="sk-SK"/>
        </w:rPr>
        <w:t> 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Priestupky voči Prestupovému poriadku</w:t>
      </w:r>
    </w:p>
    <w:p w14:paraId="6D36148C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7.1.  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resp. klub, ktorý podá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ď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alšie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podanie o Prestupe alebo Hosťovaní pred právoplatným rozhodnutím Matriky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/matrikára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 predchádzajúcom podaní týkajúcom sa tohto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dopúšťa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sa disciplinárneho priestupku.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EBF3E76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7.2.  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evidovaný Matrikou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/matrikárom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domácom klube, ktorý bez zaevidovania Matrikou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/matrikárom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hrá v zahraničí oficiálnu súťaž riadenú národnou federáciou, dopustí sa disciplinárneho priestupku.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19CC1B99" w14:textId="77777777" w:rsidR="004C2E5E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7.3.  Ak sa Matrika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/matrikár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dozvie o disciplinárnom priestupku v zmysle tohto prestupového poriadku je povinný túto skutočnosť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postúpiť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isciplinárnej komisii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na rozhodnutie.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64B712E" w14:textId="77777777" w:rsidR="00CB0A2A" w:rsidRPr="00CB0A2A" w:rsidRDefault="00CB0A2A" w:rsidP="00E70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Čl. 8</w:t>
      </w:r>
      <w:r w:rsidRPr="00CB0A2A">
        <w:rPr>
          <w:rFonts w:ascii="MS Gothic" w:eastAsia="MS Gothic" w:hAnsi="MS Gothic" w:cs="MS Gothic"/>
          <w:b/>
          <w:bCs/>
          <w:color w:val="000000"/>
          <w:sz w:val="22"/>
          <w:szCs w:val="22"/>
          <w:lang w:val="sk-SK" w:eastAsia="sk-SK"/>
        </w:rPr>
        <w:t> </w:t>
      </w:r>
      <w:r w:rsidR="004C2E5E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Spoločné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, prechodné a </w:t>
      </w:r>
      <w:r w:rsidR="004C2E5E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Záverečné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ustanovenia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5741DF2E" w14:textId="77777777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8.1.  Všetky poplatky, ktoré sú povinné dotknuté subjekty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platiť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zmysle tohto Prestupového poriadku sú uvedené obsahom prílohy tohto Prestupového poriadku.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151BD004" w14:textId="6C5E9BE3" w:rsidR="00CB0A2A" w:rsidRPr="00CB0A2A" w:rsidRDefault="00CB0A2A" w:rsidP="002B3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both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lastRenderedPageBreak/>
        <w:t xml:space="preserve">8.2.  Tento Prestupový poriadok nadobudol platnosť schválením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Výkonným výborom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účinnosťou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2B3364">
        <w:rPr>
          <w:rFonts w:ascii="Calibri" w:hAnsi="Calibri" w:cs="Calibri"/>
          <w:sz w:val="22"/>
          <w:szCs w:val="22"/>
          <w:lang w:val="sk-SK" w:eastAsia="sk-SK"/>
        </w:rPr>
        <w:t xml:space="preserve">od </w:t>
      </w:r>
      <w:r w:rsidR="00F07352" w:rsidRPr="002B3364">
        <w:rPr>
          <w:rFonts w:ascii="Calibri" w:hAnsi="Calibri" w:cs="Calibri"/>
          <w:sz w:val="22"/>
          <w:szCs w:val="22"/>
          <w:lang w:val="sk-SK" w:eastAsia="sk-SK"/>
        </w:rPr>
        <w:t>1</w:t>
      </w:r>
      <w:r w:rsidR="002B3364" w:rsidRPr="002B3364">
        <w:rPr>
          <w:rFonts w:ascii="Calibri" w:hAnsi="Calibri" w:cs="Calibri"/>
          <w:sz w:val="22"/>
          <w:szCs w:val="22"/>
          <w:lang w:val="sk-SK" w:eastAsia="sk-SK"/>
        </w:rPr>
        <w:t>5</w:t>
      </w:r>
      <w:r w:rsidRPr="002B3364">
        <w:rPr>
          <w:rFonts w:ascii="Calibri" w:hAnsi="Calibri" w:cs="Calibri"/>
          <w:sz w:val="22"/>
          <w:szCs w:val="22"/>
          <w:lang w:val="sk-SK" w:eastAsia="sk-SK"/>
        </w:rPr>
        <w:t>.</w:t>
      </w:r>
      <w:r w:rsidR="002B3364" w:rsidRPr="002B3364">
        <w:rPr>
          <w:rFonts w:ascii="Calibri" w:hAnsi="Calibri" w:cs="Calibri"/>
          <w:sz w:val="22"/>
          <w:szCs w:val="22"/>
          <w:lang w:val="sk-SK" w:eastAsia="sk-SK"/>
        </w:rPr>
        <w:t>03.</w:t>
      </w:r>
      <w:r w:rsidRPr="002B3364">
        <w:rPr>
          <w:rFonts w:ascii="Calibri" w:hAnsi="Calibri" w:cs="Calibri"/>
          <w:sz w:val="22"/>
          <w:szCs w:val="22"/>
          <w:lang w:val="sk-SK" w:eastAsia="sk-SK"/>
        </w:rPr>
        <w:t>20</w:t>
      </w:r>
      <w:r w:rsidR="002B3364" w:rsidRPr="002B3364">
        <w:rPr>
          <w:rFonts w:ascii="Calibri" w:hAnsi="Calibri" w:cs="Calibri"/>
          <w:sz w:val="22"/>
          <w:szCs w:val="22"/>
          <w:lang w:val="sk-SK" w:eastAsia="sk-SK"/>
        </w:rPr>
        <w:t>25</w:t>
      </w:r>
      <w:r w:rsidRPr="002B3364">
        <w:rPr>
          <w:rFonts w:ascii="Calibri" w:hAnsi="Calibri" w:cs="Calibri"/>
          <w:sz w:val="22"/>
          <w:szCs w:val="22"/>
          <w:lang w:val="sk-SK" w:eastAsia="sk-SK"/>
        </w:rPr>
        <w:t xml:space="preserve">. </w:t>
      </w:r>
      <w:r w:rsidRPr="002B3364">
        <w:rPr>
          <w:rFonts w:ascii="MS Gothic" w:eastAsia="MS Gothic" w:hAnsi="MS Gothic" w:cs="MS Gothic"/>
          <w:sz w:val="22"/>
          <w:szCs w:val="22"/>
          <w:lang w:val="sk-SK" w:eastAsia="sk-SK"/>
        </w:rPr>
        <w:t> </w:t>
      </w:r>
    </w:p>
    <w:p w14:paraId="6707D6EF" w14:textId="77777777" w:rsidR="004C2E5E" w:rsidRDefault="004C2E5E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37F3E416" w14:textId="31E65274" w:rsidR="00F53BE0" w:rsidRPr="00BA3298" w:rsidRDefault="002B3364" w:rsidP="00BA3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Mgr. Mário Švec, </w:t>
      </w:r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sk-SK" w:eastAsia="sk-SK"/>
        </w:rPr>
        <w:t>prezident SATKD WT</w:t>
      </w:r>
    </w:p>
    <w:sectPr w:rsidR="00F53BE0" w:rsidRPr="00BA3298" w:rsidSect="004C2E5E">
      <w:headerReference w:type="default" r:id="rId8"/>
      <w:footerReference w:type="default" r:id="rId9"/>
      <w:pgSz w:w="11900" w:h="16840"/>
      <w:pgMar w:top="1440" w:right="821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A2A62" w14:textId="77777777" w:rsidR="00D277A0" w:rsidRDefault="00D277A0">
      <w:r>
        <w:separator/>
      </w:r>
    </w:p>
  </w:endnote>
  <w:endnote w:type="continuationSeparator" w:id="0">
    <w:p w14:paraId="38E7E31A" w14:textId="77777777" w:rsidR="00D277A0" w:rsidRDefault="00D2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E393" w14:textId="122C7017" w:rsidR="00C457AD" w:rsidRDefault="004107F3">
    <w:pPr>
      <w:pStyle w:val="FreeForm"/>
      <w:jc w:val="center"/>
    </w:pPr>
    <w:r>
      <w:rPr>
        <w:rFonts w:ascii="Avenir Next" w:hAnsi="Avenir Next"/>
        <w:sz w:val="20"/>
        <w:szCs w:val="20"/>
      </w:rPr>
      <w:t xml:space="preserve">Hlavná </w:t>
    </w:r>
    <w:r w:rsidR="002B3364">
      <w:rPr>
        <w:rFonts w:ascii="Avenir Next" w:hAnsi="Avenir Next"/>
        <w:sz w:val="20"/>
        <w:szCs w:val="20"/>
      </w:rPr>
      <w:t>37/68</w:t>
    </w:r>
    <w:r w:rsidR="007F5969">
      <w:rPr>
        <w:rFonts w:ascii="Avenir Next" w:hAnsi="Avenir Next"/>
        <w:sz w:val="20"/>
        <w:szCs w:val="20"/>
      </w:rPr>
      <w:t xml:space="preserve">, </w:t>
    </w:r>
    <w:r w:rsidR="002B3364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>, 090</w:t>
    </w:r>
    <w:r w:rsidR="002B3364">
      <w:rPr>
        <w:rFonts w:ascii="Avenir Next" w:hAnsi="Avenir Next"/>
        <w:sz w:val="20"/>
        <w:szCs w:val="20"/>
      </w:rPr>
      <w:t>5 267 973</w:t>
    </w:r>
    <w:r w:rsidR="007F5969">
      <w:rPr>
        <w:rFonts w:ascii="Avenir Next" w:hAnsi="Avenir Next"/>
        <w:sz w:val="20"/>
        <w:szCs w:val="20"/>
      </w:rPr>
      <w:t xml:space="preserve">, </w:t>
    </w:r>
    <w:hyperlink r:id="rId1" w:history="1">
      <w:r w:rsidR="002B3364" w:rsidRPr="005B6FEA">
        <w:rPr>
          <w:rStyle w:val="Hypertextovprepojenie"/>
          <w:rFonts w:ascii="Avenir Next" w:hAnsi="Avenir Next"/>
          <w:sz w:val="20"/>
          <w:szCs w:val="20"/>
          <w:lang w:val="en-US"/>
        </w:rPr>
        <w:t>satkd.prezident@gmail.com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4D47" w14:textId="77777777" w:rsidR="00D277A0" w:rsidRDefault="00D277A0">
      <w:r>
        <w:separator/>
      </w:r>
    </w:p>
  </w:footnote>
  <w:footnote w:type="continuationSeparator" w:id="0">
    <w:p w14:paraId="33BB0B68" w14:textId="77777777" w:rsidR="00D277A0" w:rsidRDefault="00D2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776F" w14:textId="77777777" w:rsidR="00C457AD" w:rsidRDefault="007F5969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729506C6" wp14:editId="5A31D94E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-3.5pt;margin-top:-0.3pt;width:600.1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972,5743894">
              <w10:wrap type="none" side="bothSides" anchorx="page" anchory="page"/>
              <v:shape id="_x0000_s1027" style="position:absolute;left:7940;top:0;width:2021748;height:5743894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8" style="position:absolute;left:0;top:0;width:7620972;height:5703856;rotation:11796480fd;" coordorigin="0,0" coordsize="21600,21600" path="M 25,0 L 21584,5036 L 21600,13122 L 0,21600 L 25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56A7D72" wp14:editId="215B5EC6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9" style="visibility:visible;position:absolute;margin-left:-1.0pt;margin-top:756.3pt;width:597.0pt;height:86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24,0 L 0,21600 L 21600,21469 L 1724,0 X E">
              <v:fill color="#35485D" opacity="5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8F0444"/>
    <w:multiLevelType w:val="hybridMultilevel"/>
    <w:tmpl w:val="40C07882"/>
    <w:lvl w:ilvl="0" w:tplc="FB408D2C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5724"/>
    <w:multiLevelType w:val="multilevel"/>
    <w:tmpl w:val="B57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323B9"/>
    <w:multiLevelType w:val="multilevel"/>
    <w:tmpl w:val="6914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521604">
    <w:abstractNumId w:val="13"/>
  </w:num>
  <w:num w:numId="2" w16cid:durableId="845510879">
    <w:abstractNumId w:val="14"/>
  </w:num>
  <w:num w:numId="3" w16cid:durableId="1475101197">
    <w:abstractNumId w:val="12"/>
  </w:num>
  <w:num w:numId="4" w16cid:durableId="1676572247">
    <w:abstractNumId w:val="0"/>
  </w:num>
  <w:num w:numId="5" w16cid:durableId="2047561057">
    <w:abstractNumId w:val="1"/>
  </w:num>
  <w:num w:numId="6" w16cid:durableId="1672876012">
    <w:abstractNumId w:val="2"/>
  </w:num>
  <w:num w:numId="7" w16cid:durableId="217211410">
    <w:abstractNumId w:val="3"/>
  </w:num>
  <w:num w:numId="8" w16cid:durableId="158011644">
    <w:abstractNumId w:val="4"/>
  </w:num>
  <w:num w:numId="9" w16cid:durableId="48845448">
    <w:abstractNumId w:val="5"/>
  </w:num>
  <w:num w:numId="10" w16cid:durableId="598756290">
    <w:abstractNumId w:val="6"/>
  </w:num>
  <w:num w:numId="11" w16cid:durableId="640236022">
    <w:abstractNumId w:val="7"/>
  </w:num>
  <w:num w:numId="12" w16cid:durableId="228271387">
    <w:abstractNumId w:val="8"/>
  </w:num>
  <w:num w:numId="13" w16cid:durableId="349839635">
    <w:abstractNumId w:val="9"/>
  </w:num>
  <w:num w:numId="14" w16cid:durableId="2112895596">
    <w:abstractNumId w:val="10"/>
  </w:num>
  <w:num w:numId="15" w16cid:durableId="6552577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ladimira Sreinerova">
    <w15:presenceInfo w15:providerId="Windows Live" w15:userId="1a52023ae00790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161A83"/>
    <w:rsid w:val="00191CD6"/>
    <w:rsid w:val="00203827"/>
    <w:rsid w:val="002B3364"/>
    <w:rsid w:val="0037403D"/>
    <w:rsid w:val="004107F3"/>
    <w:rsid w:val="00454DB3"/>
    <w:rsid w:val="004C2E5E"/>
    <w:rsid w:val="00644286"/>
    <w:rsid w:val="00710316"/>
    <w:rsid w:val="007534F2"/>
    <w:rsid w:val="007903ED"/>
    <w:rsid w:val="00797817"/>
    <w:rsid w:val="007F5969"/>
    <w:rsid w:val="00994536"/>
    <w:rsid w:val="00A739DC"/>
    <w:rsid w:val="00B21D70"/>
    <w:rsid w:val="00B24790"/>
    <w:rsid w:val="00BA3298"/>
    <w:rsid w:val="00C457AD"/>
    <w:rsid w:val="00CB0A2A"/>
    <w:rsid w:val="00D277A0"/>
    <w:rsid w:val="00D75E2E"/>
    <w:rsid w:val="00E705E1"/>
    <w:rsid w:val="00E93C3F"/>
    <w:rsid w:val="00EF2E87"/>
    <w:rsid w:val="00F07352"/>
    <w:rsid w:val="00F53BE0"/>
    <w:rsid w:val="00F64E8B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B3D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styleId="Vrazn">
    <w:name w:val="Strong"/>
    <w:basedOn w:val="Predvolenpsmoodseku"/>
    <w:uiPriority w:val="22"/>
    <w:qFormat/>
    <w:rsid w:val="00B21D70"/>
    <w:rPr>
      <w:b/>
      <w:bCs/>
    </w:rPr>
  </w:style>
  <w:style w:type="table" w:styleId="Mriekatabuky">
    <w:name w:val="Table Grid"/>
    <w:basedOn w:val="Normlnatabuka"/>
    <w:uiPriority w:val="39"/>
    <w:rsid w:val="00F5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3B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03D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03D"/>
    <w:rPr>
      <w:sz w:val="18"/>
      <w:szCs w:val="18"/>
      <w:lang w:val="en-US" w:eastAsia="en-US"/>
    </w:rPr>
  </w:style>
  <w:style w:type="paragraph" w:styleId="Revzia">
    <w:name w:val="Revision"/>
    <w:hidden/>
    <w:uiPriority w:val="99"/>
    <w:semiHidden/>
    <w:rsid w:val="004107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4107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07F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4107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07F3"/>
    <w:rPr>
      <w:sz w:val="24"/>
      <w:szCs w:val="24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2B3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prezident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3</cp:revision>
  <dcterms:created xsi:type="dcterms:W3CDTF">2025-03-06T20:57:00Z</dcterms:created>
  <dcterms:modified xsi:type="dcterms:W3CDTF">2025-03-15T19:17:00Z</dcterms:modified>
</cp:coreProperties>
</file>